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Pr="00053E6E" w:rsidRDefault="0058132E" w:rsidP="0058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proofErr w:type="gramStart"/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автономного общеобразовательного</w:t>
      </w:r>
    </w:p>
    <w:p w:rsidR="0058132E" w:rsidRPr="00053E6E" w:rsidRDefault="0058132E" w:rsidP="0058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«</w:t>
      </w:r>
      <w:proofErr w:type="spellStart"/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Бизинская</w:t>
      </w:r>
      <w:proofErr w:type="spellEnd"/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 школа</w:t>
      </w:r>
      <w:proofErr w:type="gramStart"/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»-</w:t>
      </w:r>
      <w:proofErr w:type="gramEnd"/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Санниковская</w:t>
      </w:r>
      <w:proofErr w:type="spellEnd"/>
      <w:r w:rsidRPr="00053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58132E" w:rsidRPr="00053E6E" w:rsidRDefault="0058132E" w:rsidP="005813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531"/>
        <w:gridCol w:w="2960"/>
      </w:tblGrid>
      <w:tr w:rsidR="0058132E" w:rsidRPr="00053E6E" w:rsidTr="00F8327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на методическом совете</w:t>
            </w: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05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31.08. 2020 г.</w:t>
            </w: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E" w:rsidRPr="00053E6E" w:rsidRDefault="0058132E" w:rsidP="00F83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УВР МАОУ «</w:t>
            </w:r>
            <w:proofErr w:type="spellStart"/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Бизинская</w:t>
            </w:r>
            <w:proofErr w:type="spellEnd"/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СОШ»______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r w:rsidRPr="00B25C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О.И.Колобова</w:t>
            </w:r>
            <w:proofErr w:type="spellEnd"/>
            <w:r w:rsidRPr="00B25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E" w:rsidRPr="00053E6E" w:rsidRDefault="0058132E" w:rsidP="00F83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Бизинская</w:t>
            </w:r>
            <w:proofErr w:type="spellEnd"/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 _____  </w:t>
            </w:r>
            <w:r w:rsidRPr="00B25C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r w:rsidRPr="00B25C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Н.С.Феденко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94-ОД</w:t>
            </w:r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  <w:r w:rsidRPr="00053E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31.08.2020 г._</w:t>
            </w:r>
          </w:p>
          <w:p w:rsidR="0058132E" w:rsidRPr="00053E6E" w:rsidRDefault="0058132E" w:rsidP="00F83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32E" w:rsidRPr="00053E6E" w:rsidRDefault="0058132E" w:rsidP="00581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32E" w:rsidRPr="00053E6E" w:rsidRDefault="0058132E" w:rsidP="00581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32E" w:rsidRPr="00053E6E" w:rsidRDefault="0058132E" w:rsidP="0058132E">
      <w:pPr>
        <w:tabs>
          <w:tab w:val="left" w:pos="46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3E6E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8132E" w:rsidRPr="00053E6E" w:rsidRDefault="0058132E" w:rsidP="0058132E">
      <w:pPr>
        <w:tabs>
          <w:tab w:val="center" w:pos="5315"/>
          <w:tab w:val="left" w:pos="5775"/>
          <w:tab w:val="left" w:pos="74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                                                                                                                                                                                                                 родная русская литература</w:t>
      </w:r>
    </w:p>
    <w:p w:rsidR="0058132E" w:rsidRPr="00053E6E" w:rsidRDefault="0058132E" w:rsidP="0058132E">
      <w:pPr>
        <w:tabs>
          <w:tab w:val="center" w:pos="5315"/>
          <w:tab w:val="left" w:pos="5775"/>
          <w:tab w:val="left" w:pos="7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3E6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7  </w:t>
      </w:r>
      <w:r w:rsidRPr="00053E6E">
        <w:rPr>
          <w:rFonts w:ascii="Times New Roman" w:hAnsi="Times New Roman" w:cs="Times New Roman"/>
          <w:sz w:val="24"/>
          <w:szCs w:val="24"/>
        </w:rPr>
        <w:t>класса</w:t>
      </w:r>
    </w:p>
    <w:p w:rsidR="0058132E" w:rsidRPr="00053E6E" w:rsidRDefault="0058132E" w:rsidP="0058132E">
      <w:pPr>
        <w:tabs>
          <w:tab w:val="center" w:pos="5315"/>
          <w:tab w:val="left" w:pos="5775"/>
          <w:tab w:val="left" w:pos="7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3E6E">
        <w:rPr>
          <w:rFonts w:ascii="Times New Roman" w:hAnsi="Times New Roman" w:cs="Times New Roman"/>
          <w:sz w:val="24"/>
          <w:szCs w:val="24"/>
        </w:rPr>
        <w:t>на 2020 – 2021 учебный год</w:t>
      </w:r>
    </w:p>
    <w:p w:rsidR="0058132E" w:rsidRPr="00053E6E" w:rsidRDefault="0058132E" w:rsidP="0058132E">
      <w:pPr>
        <w:tabs>
          <w:tab w:val="center" w:pos="5315"/>
          <w:tab w:val="left" w:pos="5775"/>
          <w:tab w:val="left" w:pos="74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132E" w:rsidRDefault="0058132E" w:rsidP="0058132E">
      <w:pPr>
        <w:tabs>
          <w:tab w:val="center" w:pos="5315"/>
          <w:tab w:val="left" w:pos="5775"/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58132E" w:rsidRPr="00053E6E" w:rsidRDefault="0058132E" w:rsidP="0058132E">
      <w:pPr>
        <w:tabs>
          <w:tab w:val="center" w:pos="5315"/>
          <w:tab w:val="left" w:pos="5775"/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79"/>
        <w:gridCol w:w="4800"/>
      </w:tblGrid>
      <w:tr w:rsidR="0058132E" w:rsidRPr="00053E6E" w:rsidTr="00F8327C">
        <w:trPr>
          <w:trHeight w:val="12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E" w:rsidRPr="00053E6E" w:rsidRDefault="0058132E" w:rsidP="00F8327C">
            <w:pPr>
              <w:tabs>
                <w:tab w:val="left" w:pos="8355"/>
                <w:tab w:val="right" w:pos="106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E" w:rsidRPr="00053E6E" w:rsidRDefault="0058132E" w:rsidP="00F8327C">
            <w:pPr>
              <w:tabs>
                <w:tab w:val="left" w:pos="8355"/>
                <w:tab w:val="right" w:pos="106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2E" w:rsidRPr="00053E6E" w:rsidRDefault="0058132E" w:rsidP="00F8327C">
            <w:pPr>
              <w:tabs>
                <w:tab w:val="left" w:pos="8355"/>
                <w:tab w:val="right" w:pos="106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6E">
              <w:rPr>
                <w:rFonts w:ascii="Times New Roman" w:hAnsi="Times New Roman" w:cs="Times New Roman"/>
                <w:b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тавитель программы: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Раильевна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53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 и литературы.</w:t>
            </w:r>
          </w:p>
          <w:p w:rsidR="0058132E" w:rsidRPr="00053E6E" w:rsidRDefault="0058132E" w:rsidP="00F8327C">
            <w:pPr>
              <w:tabs>
                <w:tab w:val="left" w:pos="8355"/>
                <w:tab w:val="right" w:pos="106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2E" w:rsidRPr="00053E6E" w:rsidRDefault="0058132E" w:rsidP="00F8327C">
            <w:pPr>
              <w:tabs>
                <w:tab w:val="left" w:pos="8355"/>
                <w:tab w:val="right" w:pos="106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32E" w:rsidRPr="00053E6E" w:rsidRDefault="0058132E" w:rsidP="00F8327C">
            <w:pPr>
              <w:tabs>
                <w:tab w:val="left" w:pos="8355"/>
                <w:tab w:val="right" w:pos="106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132E" w:rsidRDefault="0058132E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Предметные результаты</w:t>
      </w:r>
    </w:p>
    <w:p w:rsidR="003E6AD5" w:rsidRPr="003E6AD5" w:rsidRDefault="003E6AD5" w:rsidP="003E6A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видов речевой деятельности (</w:t>
      </w:r>
      <w:proofErr w:type="spell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E6AD5" w:rsidRPr="003E6AD5" w:rsidRDefault="003E6AD5" w:rsidP="003E6A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3E6AD5" w:rsidRPr="003E6AD5" w:rsidRDefault="003E6AD5" w:rsidP="003E6A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коммуникативно-эстетических возможностей родного языка;</w:t>
      </w:r>
    </w:p>
    <w:p w:rsidR="003E6AD5" w:rsidRPr="003E6AD5" w:rsidRDefault="003E6AD5" w:rsidP="003E6A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3E6AD5" w:rsidRPr="003E6AD5" w:rsidRDefault="003E6AD5" w:rsidP="003E6A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3E6AD5" w:rsidRPr="003E6AD5" w:rsidRDefault="003E6AD5" w:rsidP="003E6A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3E6AD5" w:rsidRPr="003E6AD5" w:rsidRDefault="003E6AD5" w:rsidP="003E6A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3E6AD5" w:rsidRPr="003E6AD5" w:rsidRDefault="003E6AD5" w:rsidP="003E6A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ответственности за языковую культуру как общечеловеческую ценность.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AD5" w:rsidRPr="003E6AD5" w:rsidRDefault="003E6AD5" w:rsidP="003E6A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AD5" w:rsidRPr="003E6AD5" w:rsidRDefault="003E6AD5" w:rsidP="003E6A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 Язык и культура (11 ч)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</w:t>
      </w:r>
      <w:r w:rsidRPr="003E6AD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губернатор, диакон, ваучер, агитационный пункт, большевик, колхоз 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т. п.).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Культура речи (11 ч)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орфоэпические нормы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современного русского литературного языка.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3E6AD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дом‚ нА гору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лексические нормы современного русского литературного языка. 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Паронимы и точность речи. Смысловые различия, характер лексической сочетаемости, способы управления, </w:t>
      </w:r>
      <w:proofErr w:type="spell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функциональностилевая</w:t>
      </w:r>
      <w:proofErr w:type="spell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окраска и употребление паронимов в речи. Типичные речевые </w:t>
      </w:r>
      <w:proofErr w:type="gram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ошибки</w:t>
      </w:r>
      <w:proofErr w:type="gram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‚ связанные с употреблением паронимов в речи.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Основные грамматические нормы современного русского литературного языка. 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 </w:t>
      </w:r>
      <w:r w:rsidRPr="003E6AD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очутиться, победить, убедить, учредить, утвердить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proofErr w:type="gramStart"/>
      <w:r w:rsidRPr="003E6AD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висящий</w:t>
      </w:r>
      <w:proofErr w:type="gramEnd"/>
      <w:r w:rsidRPr="003E6AD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– висячий, горящий – горячий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Литературный и разговорный варианты грамматической нормы (</w:t>
      </w:r>
      <w:r w:rsidRPr="003E6AD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махаешь – машешь;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AD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обусловливать, сосредоточивать, уполномочивать, оспаривать, удостаивать, облагораживать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proofErr w:type="gramEnd"/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Речевой этикет. 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Невербальный (несловесный) этикет общения.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Речь. Речевая деятельность. Текст (11 ч)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 и речь. Виды речевой деятельности. 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Традиции русского речевого общения. Коммуникативные стратегии и тактики устного общения: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убеждение, комплимент, уговаривание, похвала, </w:t>
      </w:r>
      <w:proofErr w:type="spell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самопрезентация</w:t>
      </w:r>
      <w:proofErr w:type="spell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 как единица языка и речи. 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Тексты </w:t>
      </w:r>
      <w:proofErr w:type="spell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аргументативного</w:t>
      </w:r>
      <w:proofErr w:type="spell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типа: рассуждение, доказательство, объяснение. Сильные позиции текстов, их типы. Информативная функция заголовков.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Функциональные разновидности языка.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Язык художественной литературы. </w:t>
      </w:r>
      <w:proofErr w:type="spell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Фактуальная</w:t>
      </w:r>
      <w:proofErr w:type="spell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подтекстовая информация в текстах художественного стиля речи. Притча.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Резерв учебного времени – 2 ч.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AD5" w:rsidRPr="003E6AD5" w:rsidRDefault="003E6AD5" w:rsidP="003E6A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программы 7-го класса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предмета «Русский родной язык» в 7-м классе должно обеспечивать достижение </w:t>
      </w: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предметных результатов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7-м классе.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 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конце </w:t>
      </w: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третьего</w:t>
      </w: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следующих умений.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«Язык и культура»:</w:t>
      </w:r>
    </w:p>
    <w:p w:rsidR="003E6AD5" w:rsidRPr="003E6AD5" w:rsidRDefault="003E6AD5" w:rsidP="003E6A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пояснять внешние причины изменений в русском языке; приводить примеры;</w:t>
      </w:r>
    </w:p>
    <w:p w:rsidR="003E6AD5" w:rsidRPr="003E6AD5" w:rsidRDefault="003E6AD5" w:rsidP="003E6A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3E6AD5" w:rsidRPr="003E6AD5" w:rsidRDefault="003E6AD5" w:rsidP="003E6A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национального своеобразия, богатства, выразительности русского родного языка;</w:t>
      </w:r>
    </w:p>
    <w:p w:rsidR="003E6AD5" w:rsidRPr="003E6AD5" w:rsidRDefault="003E6AD5" w:rsidP="003E6A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единицы языка с национально-культурным компонентом значения в текстах;</w:t>
      </w:r>
    </w:p>
    <w:p w:rsidR="003E6AD5" w:rsidRPr="003E6AD5" w:rsidRDefault="003E6AD5" w:rsidP="003E6A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и характеризовать устаревшую лексику (историзмы, архаизмы); понимать особенности её употребления в текстах;</w:t>
      </w:r>
    </w:p>
    <w:p w:rsidR="003E6AD5" w:rsidRPr="003E6AD5" w:rsidRDefault="003E6AD5" w:rsidP="003E6A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значения лексических заимствований последних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десятилетий; целесообразно употреблять иноязычные слова;</w:t>
      </w:r>
    </w:p>
    <w:p w:rsidR="003E6AD5" w:rsidRPr="003E6AD5" w:rsidRDefault="003E6AD5" w:rsidP="003E6AD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происхождение названий русских городов (в рамках</w:t>
      </w:r>
      <w:proofErr w:type="gramEnd"/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изученного);</w:t>
      </w:r>
    </w:p>
    <w:p w:rsidR="003E6AD5" w:rsidRPr="003E6AD5" w:rsidRDefault="003E6AD5" w:rsidP="003E6AD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«Культура речи»: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нормы ударения в отдельных грамматических формах имён существительных, имён прилагательных, глаголов (в рамках изученного);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употреблять слова с учётом стилистических вариантов орфоэпической нормы;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соблюдать нормы </w:t>
      </w:r>
      <w:proofErr w:type="gram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употребления синонимов‚ антонимов‚ омонимов‚ паронимов</w:t>
      </w:r>
      <w:proofErr w:type="gram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употреблять слова в соответствии с их лексическим значением и требованием лексической сочетаемости;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корректно употреблять термины в учебно-научном стиле речи (в рамках </w:t>
      </w:r>
      <w:proofErr w:type="gramStart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изученного</w:t>
      </w:r>
      <w:proofErr w:type="gramEnd"/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употреблять имена существительные, имена прилагательные, глаголы с учётом стилистических норм современного русского языка;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различать типичные речевые ошибки;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редактировать текст с целью исправления речевых ошибок;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и исправлять речевые ошибки в устной речи;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оценивать с точки зрения норм современного русского литературного языка чужую и собственную речь;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корректировать речь с учётом её соответствия основным нормам современного литературного языка;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редактировать предложения, избегая нагромождения одних и тех же падежных форм, в частности родительного и творительного падежей;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русскую этикетную манеру общения;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использовать принципы этикетного общения, лежащие в основе национального русского речевого этикета;</w:t>
      </w:r>
    </w:p>
    <w:p w:rsidR="003E6AD5" w:rsidRPr="003E6AD5" w:rsidRDefault="003E6AD5" w:rsidP="003E6AD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толковые, в том числе мультимедийные, словари для определения лексического значения слова и особенностей его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употребления;</w:t>
      </w:r>
    </w:p>
    <w:p w:rsidR="003E6AD5" w:rsidRPr="003E6AD5" w:rsidRDefault="003E6AD5" w:rsidP="003E6AD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:rsidR="003E6AD5" w:rsidRPr="003E6AD5" w:rsidRDefault="003E6AD5" w:rsidP="003E6AD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3E6AD5" w:rsidRPr="003E6AD5" w:rsidRDefault="003E6AD5" w:rsidP="003E6AD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3E6AD5" w:rsidRPr="003E6AD5" w:rsidRDefault="003E6AD5" w:rsidP="003E6AD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«Речь. Речевая деятельность. Текст»</w:t>
      </w: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логико-смысловую структуру текста; распознавать виды абзацев;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и анализировать разные типы заголовков текста;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создавать тексты рекламного типа, притчи;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создавать текст в жанре путевых заметок;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уместно использовать коммуникативные стратегии и тактики при контактном общении: убеждение, комплимент, спор, дискуссия;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уместно использовать жанры разговорной речи в ситуациях неформального общения;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тексты как результат проектной (исследовательской) деятельности;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3E6AD5" w:rsidRPr="003E6AD5" w:rsidRDefault="003E6AD5" w:rsidP="003E6AD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правилами информационной безопасности при общении в социальных сетях.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AD5" w:rsidRPr="003E6AD5" w:rsidRDefault="003E6AD5" w:rsidP="003E6A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уроков  в 7-м  классе</w:t>
      </w:r>
    </w:p>
    <w:p w:rsidR="003E6AD5" w:rsidRPr="003E6AD5" w:rsidRDefault="003E6AD5" w:rsidP="003E6A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(1 час в неделю/34 часа в год)</w:t>
      </w:r>
    </w:p>
    <w:tbl>
      <w:tblPr>
        <w:tblW w:w="8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257"/>
        <w:gridCol w:w="1141"/>
        <w:gridCol w:w="663"/>
        <w:gridCol w:w="1450"/>
      </w:tblGrid>
      <w:tr w:rsidR="003E6AD5" w:rsidRPr="003E6AD5" w:rsidTr="003E6AD5">
        <w:tc>
          <w:tcPr>
            <w:tcW w:w="660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 /</w:t>
            </w:r>
            <w:proofErr w:type="gram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4140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10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055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</w:tr>
      <w:tr w:rsidR="003E6AD5" w:rsidRPr="003E6AD5" w:rsidTr="003E6AD5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</w:tr>
      <w:tr w:rsidR="003E6AD5" w:rsidRPr="003E6AD5" w:rsidTr="003E6AD5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3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работа</w:t>
            </w:r>
          </w:p>
        </w:tc>
      </w:tr>
      <w:tr w:rsidR="003E6AD5" w:rsidRPr="003E6AD5" w:rsidTr="003E6AD5">
        <w:trPr>
          <w:trHeight w:val="210"/>
        </w:trPr>
        <w:tc>
          <w:tcPr>
            <w:tcW w:w="6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1.    </w:t>
            </w:r>
          </w:p>
        </w:tc>
        <w:tc>
          <w:tcPr>
            <w:tcW w:w="4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Язык и культура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6AD5" w:rsidRPr="003E6AD5" w:rsidTr="003E6AD5">
        <w:trPr>
          <w:trHeight w:val="195"/>
        </w:trPr>
        <w:tc>
          <w:tcPr>
            <w:tcW w:w="6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2.    </w:t>
            </w:r>
          </w:p>
        </w:tc>
        <w:tc>
          <w:tcPr>
            <w:tcW w:w="4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речи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E6AD5" w:rsidRPr="003E6AD5" w:rsidTr="003E6AD5">
        <w:trPr>
          <w:trHeight w:val="60"/>
        </w:trPr>
        <w:tc>
          <w:tcPr>
            <w:tcW w:w="6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3.    </w:t>
            </w:r>
          </w:p>
        </w:tc>
        <w:tc>
          <w:tcPr>
            <w:tcW w:w="4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Речь. Текст 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6AD5" w:rsidRPr="003E6AD5" w:rsidTr="003E6AD5">
        <w:trPr>
          <w:trHeight w:val="60"/>
        </w:trPr>
        <w:tc>
          <w:tcPr>
            <w:tcW w:w="6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Резервные уроки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E6AD5" w:rsidRPr="003E6AD5" w:rsidTr="003E6AD5">
        <w:tc>
          <w:tcPr>
            <w:tcW w:w="6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729"/>
        <w:gridCol w:w="122"/>
        <w:gridCol w:w="2900"/>
        <w:gridCol w:w="180"/>
        <w:gridCol w:w="1187"/>
        <w:gridCol w:w="744"/>
        <w:gridCol w:w="30"/>
        <w:gridCol w:w="766"/>
        <w:gridCol w:w="766"/>
      </w:tblGrid>
      <w:tr w:rsidR="003E6AD5" w:rsidRPr="003E6AD5" w:rsidTr="003E6AD5">
        <w:tc>
          <w:tcPr>
            <w:tcW w:w="70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5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Материалы учебного пособия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  <w:tc>
          <w:tcPr>
            <w:tcW w:w="15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</w:tr>
      <w:tr w:rsidR="003E6AD5" w:rsidRPr="003E6AD5" w:rsidTr="003E6AD5">
        <w:trPr>
          <w:trHeight w:val="25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культура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08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3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как развивающееся явление. Связь исторического развития языка с историей общества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</w:t>
            </w:r>
          </w:p>
        </w:tc>
        <w:tc>
          <w:tcPr>
            <w:tcW w:w="69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219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Факторы, влияющие на развитие языка: </w:t>
            </w:r>
            <w:proofErr w:type="spell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социальнополитические</w:t>
            </w:r>
            <w:proofErr w:type="spellEnd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события и изменения в обществе, развитие науки и техники, влияние других языков.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52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Устаревшие слова – живые </w:t>
            </w: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свидетели истории.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Историзмы</w:t>
            </w:r>
          </w:p>
        </w:tc>
        <w:tc>
          <w:tcPr>
            <w:tcW w:w="3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Устаревшие слова как живые свидетели истории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301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36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Архаизмы </w:t>
            </w:r>
            <w:proofErr w:type="gram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составе</w:t>
            </w:r>
            <w:proofErr w:type="gramEnd"/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устаревших слов русского языка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особенности</w:t>
            </w:r>
          </w:p>
        </w:tc>
        <w:tc>
          <w:tcPr>
            <w:tcW w:w="3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Архаизмы как слова, имеющие в современном русском языке синонимы. Лексические и лексико-семантические архаизмы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08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Группы архаизмов по степени устарелости.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08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устаревшей лексики в новом контексте</w:t>
            </w:r>
          </w:p>
        </w:tc>
        <w:tc>
          <w:tcPr>
            <w:tcW w:w="3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Перераспределение пластов лексики между активным и пассивным запасом слов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350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 устаревшей лексики в новом речевом контексте.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2253"/>
        <w:gridCol w:w="3014"/>
        <w:gridCol w:w="46"/>
        <w:gridCol w:w="791"/>
        <w:gridCol w:w="46"/>
        <w:gridCol w:w="639"/>
        <w:gridCol w:w="61"/>
        <w:gridCol w:w="350"/>
        <w:gridCol w:w="274"/>
        <w:gridCol w:w="122"/>
        <w:gridCol w:w="183"/>
        <w:gridCol w:w="776"/>
      </w:tblGrid>
      <w:tr w:rsidR="003E6AD5" w:rsidRPr="003E6AD5" w:rsidTr="003E6AD5">
        <w:trPr>
          <w:trHeight w:val="79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иноязычных слов как проблема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культуры речи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Лексические заимствования последних десятилетий. Причины заимствований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5</w:t>
            </w:r>
          </w:p>
        </w:tc>
        <w:tc>
          <w:tcPr>
            <w:tcW w:w="6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08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иноязычных слов как проблема культуры речи.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3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№ 1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Ключевые слова раздела.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материала.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проектов, результатов исследовательской работы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52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речи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3E6AD5" w:rsidRPr="003E6AD5" w:rsidTr="003E6AD5">
        <w:trPr>
          <w:trHeight w:val="199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орфоэпические нормы современного русского литературного языка. Ударение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орфоэпические нормы современного русского литературного языка.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6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3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ударения в причастиях, деепричастиях и наречиях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ударения в полных причастиях‚ кратких формах страдательных причастий прошедшего времени‚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деепричастиях</w:t>
            </w:r>
            <w:proofErr w:type="gramEnd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‚ наречиях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81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Варианты норм ударения.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7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90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Трудные случаи употребления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паронимов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Паронимы и точность речи. Смысловые различия, характер лексической сочетаемости, способы управления,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функционально-стилевая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окраска и употребление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паронимов в речи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8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3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Типичные речевые </w:t>
            </w:r>
            <w:proofErr w:type="gram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ошибки</w:t>
            </w:r>
            <w:proofErr w:type="gramEnd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‚ связанные с употреблением паронимов в речи.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8</w:t>
            </w:r>
          </w:p>
        </w:tc>
        <w:tc>
          <w:tcPr>
            <w:tcW w:w="10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244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грамматические ошибки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 </w:t>
            </w:r>
            <w:r w:rsidRPr="003E6A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очутиться, победить, убедить, учредить, утвердить</w:t>
            </w: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)‚ формы глаголов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9</w:t>
            </w:r>
          </w:p>
        </w:tc>
        <w:tc>
          <w:tcPr>
            <w:tcW w:w="10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2253"/>
        <w:gridCol w:w="3059"/>
        <w:gridCol w:w="837"/>
        <w:gridCol w:w="1157"/>
        <w:gridCol w:w="502"/>
        <w:gridCol w:w="746"/>
      </w:tblGrid>
      <w:tr w:rsidR="003E6AD5" w:rsidRPr="003E6AD5" w:rsidTr="003E6AD5">
        <w:trPr>
          <w:trHeight w:val="79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совершенного и несовершенного вида‚ формы глаголов </w:t>
            </w:r>
            <w:proofErr w:type="gram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повелительном </w:t>
            </w:r>
            <w:proofErr w:type="gram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наклонении</w:t>
            </w:r>
            <w:proofErr w:type="gramEnd"/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90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употребления в речи однокоренных слов типа </w:t>
            </w:r>
            <w:proofErr w:type="gramStart"/>
            <w:r w:rsidRPr="003E6A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висящий</w:t>
            </w:r>
            <w:proofErr w:type="gramEnd"/>
            <w:r w:rsidRPr="003E6AD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– висячий, горящий – горячий</w:t>
            </w: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Варианты грамматической нормы: литературные и разговорные падежные формы причастий‚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деепричастий‚ наречий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9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90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Отражение вариантов грамматической нормы в словарях и справочниках. Литературный и разговорный варианты грамматической нормы.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9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328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русской речевой манеры общения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219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русского речевого и невербального этикета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Невербальный (несловесный) этикет общения. Этикет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использования изобразительных жестов. Замещающие и сопровождающие жесты.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3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№ 2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Ключевые слова раздела. Обобщение материала.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проектов, результатов исследовательской работы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52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Речь. Текст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3E6AD5" w:rsidRPr="003E6AD5" w:rsidTr="003E6AD5">
        <w:trPr>
          <w:trHeight w:val="81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русского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речевого общения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русского речевого общения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0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 стратегии и тактики устного общения: убеждение, комплимент, уговаривание, похвала,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187"/>
        <w:gridCol w:w="3564"/>
        <w:gridCol w:w="1162"/>
        <w:gridCol w:w="566"/>
        <w:gridCol w:w="31"/>
        <w:gridCol w:w="505"/>
        <w:gridCol w:w="734"/>
      </w:tblGrid>
      <w:tr w:rsidR="003E6AD5" w:rsidRPr="003E6AD5" w:rsidTr="003E6AD5">
        <w:trPr>
          <w:trHeight w:val="190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самопрезентация</w:t>
            </w:r>
            <w:proofErr w:type="spellEnd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др.; сохранение инициативы в диалоге, уклонение от инициативы, завершение диалога и др.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81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Текст. Виды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абзацев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Текст, основные признаки текста: смысловая цельность, информативность, связность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§13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246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Виды абзацев. </w:t>
            </w:r>
            <w:proofErr w:type="gram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типы текстовых структур: индуктивные, дедуктивные, рамочные (</w:t>
            </w:r>
            <w:proofErr w:type="spell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дедуктивноиндуктивные</w:t>
            </w:r>
            <w:proofErr w:type="spellEnd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стержневые (индуктивно-дедуктивные) структуры.</w:t>
            </w:r>
            <w:proofErr w:type="gramEnd"/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§13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219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Заголовки текстов, их типы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Заголовки текстов, их типы. Информативная функция заголовков.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Тексты </w:t>
            </w:r>
            <w:proofErr w:type="spell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аргументативного</w:t>
            </w:r>
            <w:proofErr w:type="spellEnd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типа: рассуждение, доказательство, объяснение.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14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219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Разговорная речь. Спор и дискуссия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Спор, виды споров. Дискуссия. Правила поведения в споре. Как управлять собой и собеседником. Корректные и некорректные приёмы ведения спора.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15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08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Публицистический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стиль. Путевые заметки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жанра путевых заметок.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16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36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рекламного объявления,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его языковые и структурные особенности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Языковые и структурные особенности текста рекламного объявления.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17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81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художественной литературы.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Притча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Фактуальная</w:t>
            </w:r>
            <w:proofErr w:type="spellEnd"/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подтекстовая информация в текстах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художественного стиля речи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18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08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Сильные позиции в художественных текстах. Притча.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и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18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136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№ 3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Ключевые слова раздела. Обобщение материала.</w:t>
            </w:r>
          </w:p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проектов, результатов исследовательской работы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6AD5" w:rsidRPr="003E6AD5" w:rsidTr="003E6AD5">
        <w:trPr>
          <w:trHeight w:val="52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114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E6AD5" w:rsidRPr="003E6AD5" w:rsidTr="003E6AD5">
        <w:trPr>
          <w:trHeight w:val="24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8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3E6AD5" w:rsidRPr="003E6AD5" w:rsidRDefault="003E6AD5" w:rsidP="003E6A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6A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3E6AD5" w:rsidRPr="003E6AD5" w:rsidRDefault="003E6AD5" w:rsidP="003E6A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074CD" w:rsidRDefault="00E074CD"/>
    <w:sectPr w:rsidR="00E0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A17"/>
    <w:multiLevelType w:val="multilevel"/>
    <w:tmpl w:val="DC8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254B7"/>
    <w:multiLevelType w:val="multilevel"/>
    <w:tmpl w:val="7A0226A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>
    <w:nsid w:val="11B91A23"/>
    <w:multiLevelType w:val="multilevel"/>
    <w:tmpl w:val="DC94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C204B"/>
    <w:multiLevelType w:val="multilevel"/>
    <w:tmpl w:val="3CD4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24467"/>
    <w:multiLevelType w:val="multilevel"/>
    <w:tmpl w:val="D632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26161"/>
    <w:multiLevelType w:val="multilevel"/>
    <w:tmpl w:val="1068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03A06"/>
    <w:multiLevelType w:val="multilevel"/>
    <w:tmpl w:val="5522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E429C"/>
    <w:multiLevelType w:val="multilevel"/>
    <w:tmpl w:val="3E80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329AC"/>
    <w:multiLevelType w:val="multilevel"/>
    <w:tmpl w:val="D29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5745A"/>
    <w:multiLevelType w:val="multilevel"/>
    <w:tmpl w:val="F52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842DA"/>
    <w:multiLevelType w:val="multilevel"/>
    <w:tmpl w:val="BC5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9352B"/>
    <w:multiLevelType w:val="multilevel"/>
    <w:tmpl w:val="DBD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71337"/>
    <w:multiLevelType w:val="multilevel"/>
    <w:tmpl w:val="94D4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E31CE"/>
    <w:multiLevelType w:val="multilevel"/>
    <w:tmpl w:val="AF26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A43BF"/>
    <w:multiLevelType w:val="multilevel"/>
    <w:tmpl w:val="682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12D6D"/>
    <w:multiLevelType w:val="multilevel"/>
    <w:tmpl w:val="F862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45902"/>
    <w:multiLevelType w:val="multilevel"/>
    <w:tmpl w:val="F20C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E07F3"/>
    <w:multiLevelType w:val="multilevel"/>
    <w:tmpl w:val="2F1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43CDF"/>
    <w:multiLevelType w:val="multilevel"/>
    <w:tmpl w:val="E71E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00C91"/>
    <w:multiLevelType w:val="multilevel"/>
    <w:tmpl w:val="9C3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A0D0E"/>
    <w:multiLevelType w:val="multilevel"/>
    <w:tmpl w:val="FE6E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4"/>
  </w:num>
  <w:num w:numId="5">
    <w:abstractNumId w:val="1"/>
  </w:num>
  <w:num w:numId="6">
    <w:abstractNumId w:val="16"/>
  </w:num>
  <w:num w:numId="7">
    <w:abstractNumId w:val="17"/>
  </w:num>
  <w:num w:numId="8">
    <w:abstractNumId w:val="14"/>
  </w:num>
  <w:num w:numId="9">
    <w:abstractNumId w:val="15"/>
  </w:num>
  <w:num w:numId="10">
    <w:abstractNumId w:val="10"/>
  </w:num>
  <w:num w:numId="11">
    <w:abstractNumId w:val="3"/>
  </w:num>
  <w:num w:numId="12">
    <w:abstractNumId w:val="18"/>
  </w:num>
  <w:num w:numId="13">
    <w:abstractNumId w:val="11"/>
  </w:num>
  <w:num w:numId="14">
    <w:abstractNumId w:val="6"/>
  </w:num>
  <w:num w:numId="15">
    <w:abstractNumId w:val="8"/>
  </w:num>
  <w:num w:numId="16">
    <w:abstractNumId w:val="2"/>
  </w:num>
  <w:num w:numId="17">
    <w:abstractNumId w:val="12"/>
  </w:num>
  <w:num w:numId="18">
    <w:abstractNumId w:val="20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F7"/>
    <w:rsid w:val="00111047"/>
    <w:rsid w:val="003E6AD5"/>
    <w:rsid w:val="0058132E"/>
    <w:rsid w:val="00E074CD"/>
    <w:rsid w:val="00E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2620</Words>
  <Characters>14936</Characters>
  <Application>Microsoft Office Word</Application>
  <DocSecurity>0</DocSecurity>
  <Lines>124</Lines>
  <Paragraphs>35</Paragraphs>
  <ScaleCrop>false</ScaleCrop>
  <Company/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Бизинская СОШ</dc:creator>
  <cp:keywords/>
  <dc:description/>
  <cp:lastModifiedBy>Бизинская СОШ</cp:lastModifiedBy>
  <cp:revision>5</cp:revision>
  <dcterms:created xsi:type="dcterms:W3CDTF">2020-11-08T15:51:00Z</dcterms:created>
  <dcterms:modified xsi:type="dcterms:W3CDTF">2020-11-24T12:50:00Z</dcterms:modified>
</cp:coreProperties>
</file>